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214" w:rsidRPr="002B2207" w:rsidRDefault="00D85214" w:rsidP="002B2207">
      <w:pPr>
        <w:shd w:val="clear" w:color="auto" w:fill="FFFFFF"/>
        <w:spacing w:after="75" w:line="330" w:lineRule="atLeast"/>
        <w:jc w:val="both"/>
        <w:outlineLvl w:val="0"/>
        <w:rPr>
          <w:rFonts w:ascii="Arial" w:eastAsia="Times New Roman" w:hAnsi="Arial" w:cs="Arial"/>
          <w:kern w:val="36"/>
          <w:sz w:val="44"/>
          <w:szCs w:val="44"/>
        </w:rPr>
      </w:pPr>
      <w:r w:rsidRPr="002B2207">
        <w:rPr>
          <w:rFonts w:ascii="Arial" w:eastAsia="Times New Roman" w:hAnsi="Arial" w:cs="Arial"/>
          <w:kern w:val="36"/>
          <w:sz w:val="44"/>
          <w:szCs w:val="44"/>
        </w:rPr>
        <w:t>Кластеры прошли кастинг </w:t>
      </w:r>
    </w:p>
    <w:p w:rsidR="00D85214" w:rsidRPr="002B2207" w:rsidRDefault="009B7F79" w:rsidP="002B2207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940425" cy="4266604"/>
            <wp:effectExtent l="19050" t="0" r="3175" b="0"/>
            <wp:docPr id="2" name="Рисунок 1" descr="D:\Сацута Наталья\Проекты\2011-2012 Сайт Webrover\ЦСКБ-Прогресс - я этим наполняла\Samspace\600 О ЦСКБ\602 Публикации сжато под акробат 9\Публикации внешние ссылки от Гуриной -  куда их вопрос\5 KARTA_PFO_Klasteri_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цута Наталья\Проекты\2011-2012 Сайт Webrover\ЦСКБ-Прогресс - я этим наполняла\Samspace\600 О ЦСКБ\602 Публикации сжато под акробат 9\Публикации внешние ссылки от Гуриной -  куда их вопрос\5 KARTA_PFO_Klasteri_colo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66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2207">
        <w:rPr>
          <w:rFonts w:ascii="Arial" w:eastAsia="Times New Roman" w:hAnsi="Arial" w:cs="Arial"/>
          <w:sz w:val="24"/>
          <w:szCs w:val="24"/>
        </w:rPr>
        <w:t xml:space="preserve"> </w:t>
      </w:r>
    </w:p>
    <w:p w:rsidR="00D85214" w:rsidRPr="002B2207" w:rsidRDefault="00D85214" w:rsidP="002B220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Эксперты Минэкономразвития РФ подготовили проект перечня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пилотных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программ развития инновационных территориальных кластеров. Финалистами конкурса стали 25 проектов, причем девять из них представляют ПФО.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Всего в конкурсе Минэкономразвития, объявленном в марте, приняли участие 94 заявки. Окончательный перечень проектов, который должно еще утвердить Правительство РФ, составила рабочая группа по развитию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частно-государственного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партнерства в инновационной сфере при правительственной комиссии по высоким технологиям.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25 финалистов разделили на две группы. В первую вошли 13 кластеров, </w:t>
      </w:r>
      <w:proofErr w:type="gramStart"/>
      <w:r w:rsidRPr="002B2207">
        <w:rPr>
          <w:rFonts w:ascii="Arial" w:eastAsia="Times New Roman" w:hAnsi="Arial" w:cs="Arial"/>
          <w:sz w:val="24"/>
          <w:szCs w:val="24"/>
        </w:rPr>
        <w:t>программы</w:t>
      </w:r>
      <w:proofErr w:type="gramEnd"/>
      <w:r w:rsidRPr="002B2207">
        <w:rPr>
          <w:rFonts w:ascii="Arial" w:eastAsia="Times New Roman" w:hAnsi="Arial" w:cs="Arial"/>
          <w:sz w:val="24"/>
          <w:szCs w:val="24"/>
        </w:rPr>
        <w:t xml:space="preserve"> развития которых профинансируют из федерального бюджета. На круг они получат пять миллиардов рублей ежегодно в течение пяти лет, начиная с 2013 года (столько же должны добавить и регионы). Во вторую группу включили кластеры, программы которых требуют доработки, они бюджетных денег не получат. Пять из девяти финалистов от ПФО попали в первую группу, а Нижегородская и Ульяновская области отметились сразу в двух.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bCs/>
          <w:sz w:val="24"/>
          <w:szCs w:val="24"/>
        </w:rPr>
        <w:t>Нижегородская область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Федеральное финансирование в регионе получит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саровский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инновационный кластер, специализация которого - ядерные, суперкомпьютерные и лазерные технологии, а центральное звено - Российский федеральный ядерный центр (РФЯЦ). Руководитель проектного направления Центра стратегических разработок "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Северо-Запад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" (оказывал методическое сопровождение </w:t>
      </w:r>
      <w:r w:rsidRPr="002B2207">
        <w:rPr>
          <w:rFonts w:ascii="Arial" w:eastAsia="Times New Roman" w:hAnsi="Arial" w:cs="Arial"/>
          <w:sz w:val="24"/>
          <w:szCs w:val="24"/>
        </w:rPr>
        <w:lastRenderedPageBreak/>
        <w:t xml:space="preserve">разработки стратегии развития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саровского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кластера) Дмитрий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Санатов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считает, что залогом победы стал высокий исследовательский и инженерный потенциал, а также тесная связь науки и бизнеса.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- За счет широкой линейки накопленных технологических компетенций в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Сарове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можно осуществлять перспективные наукоемкие проекты межотраслевой направленности. Ведь именно здесь собраны специалисты и по компьютерным технологиям, и по материалам, и по лазерам, и по радиационным технологиям. В одном РФЯЦ сейчас работает более 450 кандидатов наук, - заявил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Санатов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>. - Каждый второй научный сотрудник является потенциальным носителем уникальных идей, а в совокупности с оборудованием и архивами испытаний и исследований это формирует беспрецедентные возможности для создания новых высокотехнологичных видов бизнеса.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К тому же в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Сарове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высокий уровень деловой активности малого инновационного бизнеса. В его копилке - более 1000 освоенных в производстве разработок и более 15 процентов производимой в городе инновационной продукции.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Во вторую группу попал нижегородский индустриальный инновационный кластер в области автомобилестроения и нефтехимии. В 2013 и 2014 годах в состав кластера войдут еще два мощных участника: на проектную мощность выйдет совместный проект концерна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Volkswagen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ГАЗа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>, а также запустится крупнейшее в Европе производство поливинилхлорида на совместном предприятии компаний "СИБУР" и "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Сольвей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>" - компании "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РусВинил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>" с объемом инвестиций 57 миллиардов рублей.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- Реализация проектов потребует привлечения широкого спектра специалистов, обслуживающего персонала, представителей рабочих специальностей, менеджмента и других, - заявил "РГ" заместитель министра инвестиционной политики региона Олег Зайцев. - К 2016 году планируется создание порядка 85 тысяч рабочих мест, при этом производительность труда должна вырасти в 2,1 раза. Кроме того, мы ожидаем взрывного роста объемов производства и продаж в 2,7 раза в 2016 году по сравнению с базовым 2011 годом.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bCs/>
          <w:sz w:val="24"/>
          <w:szCs w:val="24"/>
        </w:rPr>
        <w:t>Ульяновская область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В первую группу попал ядерно-инновационный кластер, создающийся на территории Димитровграда (во второй оказался консорциум "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Научно-образовательно-производственный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кластер "Ульяновск-Авиа"). Основа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димитровоградского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кластера - НИИ атомных реакторов, где построят опытно-промышленную установку с энергоблоком СВБР-100 (свинцово-висмутовый быстрый реактор нового поколения), многоцелевой исследовательский реактор на быстрых нейтронах (МБИР) и центр прикладных ядерных исследований. Основой последнего будет служить производство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радиофармпрепарата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- радионуклида молибден-99.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Так как радионуклиды короткоживущие, было принято решение построить в Димитровграде федеральный высокотехнологичный Центр медицинской радиологии ФМБА России.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lastRenderedPageBreak/>
        <w:t xml:space="preserve">Его строительство планируется завершить в 2014 году. В Центре будет проводиться диагностика и лечение онкологических и </w:t>
      </w:r>
      <w:proofErr w:type="spellStart"/>
      <w:proofErr w:type="gramStart"/>
      <w:r w:rsidRPr="002B2207">
        <w:rPr>
          <w:rFonts w:ascii="Arial" w:eastAsia="Times New Roman" w:hAnsi="Arial" w:cs="Arial"/>
          <w:sz w:val="24"/>
          <w:szCs w:val="24"/>
        </w:rPr>
        <w:t>сердечно-сосудистых</w:t>
      </w:r>
      <w:proofErr w:type="spellEnd"/>
      <w:proofErr w:type="gramEnd"/>
      <w:r w:rsidRPr="002B2207">
        <w:rPr>
          <w:rFonts w:ascii="Arial" w:eastAsia="Times New Roman" w:hAnsi="Arial" w:cs="Arial"/>
          <w:sz w:val="24"/>
          <w:szCs w:val="24"/>
        </w:rPr>
        <w:t xml:space="preserve"> заболеваний. Проектные мощности рассчитаны на размещение 18 тысяч стационарных больных. Предполагается, что ежегодно в Центре будут обследоваться 40 тысяч человек. Это позволит снизить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онкозаболеваемость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в стране на 25-30 процентов.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Как пояснили в правительстве Ульяновской области, объем инвестиций в проект составляет порядка 14 миллиардов рублей. Ожидаемый социально-экономический эффект - свыше 31,5 миллиарда рублей в год.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- Попадание в число проектов первой группы позволит региону сделать большой шаг вперед, - считает министр стратегического развития и инноваций Ульяновской области Александр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Смекалин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>. - Продукция, которая будет производиться в Димитровграде, конкурентоспособна на мировом рынке. Это позволит зафиксировать позицию России как лидера в сфере ядерных технологий.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bCs/>
          <w:sz w:val="24"/>
          <w:szCs w:val="24"/>
        </w:rPr>
        <w:t>Самарская область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По итогам конкурсного отбора заявка Самарской области на формирование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авиакосмического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кластера вошла первую группу. В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авиакосмический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кластер вошли знаменитый СГАУ и более 20 отраслевых предприятий, в том числе государственный научно-производственный ракетно-космический центр "ЦСКБ-Прогресс" и "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Авиакор-Авиационный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завод", выпускающий самолеты Ан-140-100, Ту-154 М, Ту-154.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По словам </w:t>
      </w:r>
      <w:proofErr w:type="gramStart"/>
      <w:r w:rsidRPr="002B2207">
        <w:rPr>
          <w:rFonts w:ascii="Arial" w:eastAsia="Times New Roman" w:hAnsi="Arial" w:cs="Arial"/>
          <w:sz w:val="24"/>
          <w:szCs w:val="24"/>
        </w:rPr>
        <w:t>исполнительного</w:t>
      </w:r>
      <w:proofErr w:type="gramEnd"/>
      <w:r w:rsidRPr="002B2207">
        <w:rPr>
          <w:rFonts w:ascii="Arial" w:eastAsia="Times New Roman" w:hAnsi="Arial" w:cs="Arial"/>
          <w:sz w:val="24"/>
          <w:szCs w:val="24"/>
        </w:rPr>
        <w:t xml:space="preserve"> директора ассоциации инновационных регионов России Ивана Бортника, самарская заявка хоть и была принята, но с "горой замечаний экспертов":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- В заявке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незанчиетльна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роль малого бизнеса. Кластеры во всем мире - это комбинация сильных игроков и вроде слабенького, но в совокупности очень сильного малого бизнеса.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Кроме того, Бортник отметил, что кластер должен базироваться на высоких технологиях и действительно играть огромную роль в экономике региона. Так, заявленный кластер Татарстана производит половину валового регионального продукта, Калужской области - почти треть.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Как пояснила корреспонденту "РГ" замминистра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экономразвития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, инвестиций и торговли Самарской области Наталья Евтеева,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критикуэкспертов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по самарской заявке учтут, в кластер должны войти и малые инновационные предприятия отрасли, способные разрабатывать высокотехнологичные новинки по заказу крупных заводов. В рамках кластера намерены создать и новые предприятия. В частности, ЗАО, которое будет производить коммерческие запуски спутников с помощью универсальной платформы производства ЦСКБ для всевозможных исследований.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bCs/>
          <w:sz w:val="24"/>
          <w:szCs w:val="24"/>
        </w:rPr>
        <w:t>Татарстан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От республики в первую группу победителей вошел камский инновационный территориально-производственный кластер, его основные составляющие -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нефтегазопереработка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и нефтегазохимия, а также автомобилестроение. Цель </w:t>
      </w:r>
      <w:r w:rsidRPr="002B2207">
        <w:rPr>
          <w:rFonts w:ascii="Arial" w:eastAsia="Times New Roman" w:hAnsi="Arial" w:cs="Arial"/>
          <w:sz w:val="24"/>
          <w:szCs w:val="24"/>
        </w:rPr>
        <w:lastRenderedPageBreak/>
        <w:t>объединения взаимосвязанных производственных площадок - устранить препятствия к развитию крупнейших предприятий Татарстана благодаря созданию современной инфраструктуры.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В кластер вошли пять районов -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Елабужский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Заинский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, Менделеевский, Нижнекамский,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Тукаевский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и городской округ Набережные Челны. Как сообщили "РГ" в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минэкономики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РТ, сейчас на территории кластера производится каждый третий российский грузовой автомобиль и каждая третья шина, а также более половины всех синтетических каучуков страны. Доля инновационной продукции составляет 22,3 процента, это значительно выше, чем в среднем не только по республике, но и по России. Планируется, что к 2020 году эта цифра увеличится вдвое и составит 44,7 процента, а инвестиции в основной капитал достигнут 600 миллиардов рублей. Также будут созданы свыше 30 тысяч новых рабочих мест.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bCs/>
          <w:sz w:val="24"/>
          <w:szCs w:val="24"/>
        </w:rPr>
        <w:t>Мордовия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Федеральное финансирование получит республиканский проект "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Энергоэффективная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светотехника и интеллектуальные системы управления освещением". Светотехника традиционно являлась стратегической отраслью для региона - в советское время каждая четвертая лампа в стране выпускалась в Мордовии. В 90-е годы республиканское светотехническое объединение оказалось на грани краха. Сегодня мордовские светотехники активно пытаются модернизировать производство, чтобы вновь занять лидирующие позиции на внутреннем рынке. Потенциал для этого имеется: республике удалось сохранить Научно-исследовательский институт источников света имени Лодыгина, а в главном вузе региона - Мордовском госуниверситете имени Огарева - по-прежнему идет подготовка специалистов на светотехническом факультете: сейчас там обучается порядка тысячи студентов. На сегодня в республике действуют более 20 светотехнических предприятий, которые обеспечивают свыше 10 процентов потребности российского рынка.</w:t>
      </w:r>
    </w:p>
    <w:p w:rsidR="00D85214" w:rsidRPr="002B2207" w:rsidRDefault="00D85214" w:rsidP="002B2207">
      <w:pPr>
        <w:shd w:val="clear" w:color="auto" w:fill="FFFFFF"/>
        <w:spacing w:before="240" w:after="240" w:line="240" w:lineRule="auto"/>
        <w:ind w:left="750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 xml:space="preserve">- Представленный проект, в который войдут все крупные и средние светотехнические предприятия республики, - попытка вывести отрасль на новый качественный уровень, - заявил глава Мордовии Владимир Волков. - Речь идет о выделении значительных средств из федерального бюджета на развитие инфраструктуры тех территорий, где будут реализовываться одобренные проекты. В частности, </w:t>
      </w:r>
      <w:proofErr w:type="spellStart"/>
      <w:r w:rsidRPr="002B2207">
        <w:rPr>
          <w:rFonts w:ascii="Arial" w:eastAsia="Times New Roman" w:hAnsi="Arial" w:cs="Arial"/>
          <w:sz w:val="24"/>
          <w:szCs w:val="24"/>
        </w:rPr>
        <w:t>рассматрим</w:t>
      </w:r>
      <w:proofErr w:type="spellEnd"/>
      <w:r w:rsidRPr="002B2207">
        <w:rPr>
          <w:rFonts w:ascii="Arial" w:eastAsia="Times New Roman" w:hAnsi="Arial" w:cs="Arial"/>
          <w:sz w:val="24"/>
          <w:szCs w:val="24"/>
        </w:rPr>
        <w:t xml:space="preserve"> вопрос о создании в республике специализированного индустриального парка.</w:t>
      </w:r>
    </w:p>
    <w:p w:rsidR="00301FDF" w:rsidRPr="002B2207" w:rsidRDefault="00301FDF" w:rsidP="002B2207">
      <w:pPr>
        <w:jc w:val="both"/>
        <w:rPr>
          <w:rFonts w:ascii="Arial" w:hAnsi="Arial" w:cs="Arial"/>
          <w:sz w:val="24"/>
          <w:szCs w:val="24"/>
        </w:rPr>
      </w:pPr>
      <w:r w:rsidRPr="002B2207">
        <w:rPr>
          <w:rFonts w:ascii="Arial" w:hAnsi="Arial" w:cs="Arial"/>
          <w:sz w:val="24"/>
          <w:szCs w:val="24"/>
        </w:rPr>
        <w:t xml:space="preserve">Источник: </w:t>
      </w:r>
    </w:p>
    <w:p w:rsidR="00301FDF" w:rsidRPr="002B2207" w:rsidRDefault="00BB0F09" w:rsidP="002B2207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hyperlink r:id="rId5" w:history="1">
        <w:r w:rsidR="00301FDF" w:rsidRPr="002B2207">
          <w:rPr>
            <w:rFonts w:ascii="Arial" w:eastAsia="Times New Roman" w:hAnsi="Arial" w:cs="Arial"/>
            <w:bCs/>
            <w:sz w:val="24"/>
            <w:szCs w:val="24"/>
          </w:rPr>
          <w:t>"Российская газета" - Экономика Поволжья №</w:t>
        </w:r>
        <w:r w:rsidR="002B2207">
          <w:rPr>
            <w:rFonts w:ascii="Arial" w:eastAsia="Times New Roman" w:hAnsi="Arial" w:cs="Arial"/>
            <w:bCs/>
            <w:sz w:val="24"/>
            <w:szCs w:val="24"/>
          </w:rPr>
          <w:t xml:space="preserve"> </w:t>
        </w:r>
        <w:r w:rsidR="00301FDF" w:rsidRPr="002B2207">
          <w:rPr>
            <w:rFonts w:ascii="Arial" w:eastAsia="Times New Roman" w:hAnsi="Arial" w:cs="Arial"/>
            <w:bCs/>
            <w:sz w:val="24"/>
            <w:szCs w:val="24"/>
          </w:rPr>
          <w:t>5828 (155)</w:t>
        </w:r>
      </w:hyperlink>
    </w:p>
    <w:p w:rsidR="00301FDF" w:rsidRPr="002B2207" w:rsidRDefault="00301FDF" w:rsidP="002B2207">
      <w:pPr>
        <w:shd w:val="clear" w:color="auto" w:fill="FFFFFF"/>
        <w:spacing w:after="7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2B2207">
        <w:rPr>
          <w:rFonts w:ascii="Arial" w:eastAsia="Times New Roman" w:hAnsi="Arial" w:cs="Arial"/>
          <w:sz w:val="24"/>
          <w:szCs w:val="24"/>
        </w:rPr>
        <w:t>Текст: </w:t>
      </w:r>
      <w:hyperlink r:id="rId6" w:history="1">
        <w:r w:rsidRPr="002B2207">
          <w:rPr>
            <w:rFonts w:ascii="Arial" w:eastAsia="Times New Roman" w:hAnsi="Arial" w:cs="Arial"/>
            <w:sz w:val="24"/>
            <w:szCs w:val="24"/>
          </w:rPr>
          <w:t xml:space="preserve">Валентина </w:t>
        </w:r>
        <w:proofErr w:type="spellStart"/>
        <w:r w:rsidRPr="002B2207">
          <w:rPr>
            <w:rFonts w:ascii="Arial" w:eastAsia="Times New Roman" w:hAnsi="Arial" w:cs="Arial"/>
            <w:sz w:val="24"/>
            <w:szCs w:val="24"/>
          </w:rPr>
          <w:t>Зотикова</w:t>
        </w:r>
        <w:proofErr w:type="spellEnd"/>
      </w:hyperlink>
      <w:r w:rsidRPr="002B2207">
        <w:rPr>
          <w:rFonts w:ascii="Arial" w:eastAsia="Times New Roman" w:hAnsi="Arial" w:cs="Arial"/>
          <w:sz w:val="24"/>
          <w:szCs w:val="24"/>
        </w:rPr>
        <w:t> (</w:t>
      </w:r>
      <w:hyperlink r:id="rId7" w:history="1">
        <w:r w:rsidRPr="002B2207">
          <w:rPr>
            <w:rFonts w:ascii="Arial" w:eastAsia="Times New Roman" w:hAnsi="Arial" w:cs="Arial"/>
            <w:sz w:val="24"/>
            <w:szCs w:val="24"/>
          </w:rPr>
          <w:t>Саранск</w:t>
        </w:r>
      </w:hyperlink>
      <w:r w:rsidRPr="002B2207">
        <w:rPr>
          <w:rFonts w:ascii="Arial" w:eastAsia="Times New Roman" w:hAnsi="Arial" w:cs="Arial"/>
          <w:sz w:val="24"/>
          <w:szCs w:val="24"/>
        </w:rPr>
        <w:t>), </w:t>
      </w:r>
      <w:hyperlink r:id="rId8" w:history="1">
        <w:r w:rsidRPr="002B2207">
          <w:rPr>
            <w:rFonts w:ascii="Arial" w:eastAsia="Times New Roman" w:hAnsi="Arial" w:cs="Arial"/>
            <w:sz w:val="24"/>
            <w:szCs w:val="24"/>
          </w:rPr>
          <w:t xml:space="preserve">Ольга </w:t>
        </w:r>
        <w:proofErr w:type="spellStart"/>
        <w:r w:rsidRPr="002B2207">
          <w:rPr>
            <w:rFonts w:ascii="Arial" w:eastAsia="Times New Roman" w:hAnsi="Arial" w:cs="Arial"/>
            <w:sz w:val="24"/>
            <w:szCs w:val="24"/>
          </w:rPr>
          <w:t>Кондрева</w:t>
        </w:r>
        <w:proofErr w:type="spellEnd"/>
      </w:hyperlink>
      <w:r w:rsidRPr="002B2207">
        <w:rPr>
          <w:rFonts w:ascii="Arial" w:eastAsia="Times New Roman" w:hAnsi="Arial" w:cs="Arial"/>
          <w:sz w:val="24"/>
          <w:szCs w:val="24"/>
        </w:rPr>
        <w:t> (</w:t>
      </w:r>
      <w:hyperlink r:id="rId9" w:history="1">
        <w:r w:rsidRPr="002B2207">
          <w:rPr>
            <w:rFonts w:ascii="Arial" w:eastAsia="Times New Roman" w:hAnsi="Arial" w:cs="Arial"/>
            <w:sz w:val="24"/>
            <w:szCs w:val="24"/>
          </w:rPr>
          <w:t>Казань</w:t>
        </w:r>
      </w:hyperlink>
      <w:r w:rsidRPr="002B2207">
        <w:rPr>
          <w:rFonts w:ascii="Arial" w:eastAsia="Times New Roman" w:hAnsi="Arial" w:cs="Arial"/>
          <w:sz w:val="24"/>
          <w:szCs w:val="24"/>
        </w:rPr>
        <w:t>), </w:t>
      </w:r>
      <w:hyperlink r:id="rId10" w:history="1">
        <w:r w:rsidRPr="002B2207">
          <w:rPr>
            <w:rFonts w:ascii="Arial" w:eastAsia="Times New Roman" w:hAnsi="Arial" w:cs="Arial"/>
            <w:sz w:val="24"/>
            <w:szCs w:val="24"/>
          </w:rPr>
          <w:t>Илья Поносов</w:t>
        </w:r>
      </w:hyperlink>
      <w:r w:rsidRPr="002B2207">
        <w:rPr>
          <w:rFonts w:ascii="Arial" w:eastAsia="Times New Roman" w:hAnsi="Arial" w:cs="Arial"/>
          <w:sz w:val="24"/>
          <w:szCs w:val="24"/>
        </w:rPr>
        <w:t> (</w:t>
      </w:r>
      <w:hyperlink r:id="rId11" w:history="1">
        <w:r w:rsidRPr="002B2207">
          <w:rPr>
            <w:rFonts w:ascii="Arial" w:eastAsia="Times New Roman" w:hAnsi="Arial" w:cs="Arial"/>
            <w:sz w:val="24"/>
            <w:szCs w:val="24"/>
          </w:rPr>
          <w:t>Нижний Новгород</w:t>
        </w:r>
      </w:hyperlink>
      <w:r w:rsidRPr="002B2207">
        <w:rPr>
          <w:rFonts w:ascii="Arial" w:eastAsia="Times New Roman" w:hAnsi="Arial" w:cs="Arial"/>
          <w:sz w:val="24"/>
          <w:szCs w:val="24"/>
        </w:rPr>
        <w:t>), </w:t>
      </w:r>
      <w:hyperlink r:id="rId12" w:history="1">
        <w:r w:rsidRPr="002B2207">
          <w:rPr>
            <w:rFonts w:ascii="Arial" w:eastAsia="Times New Roman" w:hAnsi="Arial" w:cs="Arial"/>
            <w:sz w:val="24"/>
            <w:szCs w:val="24"/>
          </w:rPr>
          <w:t>Виктория Чернышева</w:t>
        </w:r>
      </w:hyperlink>
      <w:r w:rsidRPr="002B2207">
        <w:rPr>
          <w:rFonts w:ascii="Arial" w:eastAsia="Times New Roman" w:hAnsi="Arial" w:cs="Arial"/>
          <w:sz w:val="24"/>
          <w:szCs w:val="24"/>
        </w:rPr>
        <w:t xml:space="preserve"> (</w:t>
      </w:r>
      <w:hyperlink r:id="rId13" w:history="1">
        <w:r w:rsidRPr="002B2207">
          <w:rPr>
            <w:rFonts w:ascii="Arial" w:eastAsia="Times New Roman" w:hAnsi="Arial" w:cs="Arial"/>
            <w:sz w:val="24"/>
            <w:szCs w:val="24"/>
          </w:rPr>
          <w:t>Ульяновск</w:t>
        </w:r>
      </w:hyperlink>
      <w:r w:rsidRPr="002B2207">
        <w:rPr>
          <w:rFonts w:ascii="Arial" w:eastAsia="Times New Roman" w:hAnsi="Arial" w:cs="Arial"/>
          <w:sz w:val="24"/>
          <w:szCs w:val="24"/>
        </w:rPr>
        <w:t>), </w:t>
      </w:r>
      <w:hyperlink r:id="rId14" w:history="1">
        <w:r w:rsidRPr="002B2207">
          <w:rPr>
            <w:rFonts w:ascii="Arial" w:eastAsia="Times New Roman" w:hAnsi="Arial" w:cs="Arial"/>
            <w:sz w:val="24"/>
            <w:szCs w:val="24"/>
          </w:rPr>
          <w:t xml:space="preserve">Анна </w:t>
        </w:r>
        <w:proofErr w:type="spellStart"/>
        <w:r w:rsidRPr="002B2207">
          <w:rPr>
            <w:rFonts w:ascii="Arial" w:eastAsia="Times New Roman" w:hAnsi="Arial" w:cs="Arial"/>
            <w:sz w:val="24"/>
            <w:szCs w:val="24"/>
          </w:rPr>
          <w:t>Шепелева</w:t>
        </w:r>
        <w:proofErr w:type="spellEnd"/>
      </w:hyperlink>
      <w:r w:rsidRPr="002B2207">
        <w:rPr>
          <w:rFonts w:ascii="Arial" w:eastAsia="Times New Roman" w:hAnsi="Arial" w:cs="Arial"/>
          <w:sz w:val="24"/>
          <w:szCs w:val="24"/>
        </w:rPr>
        <w:t> (</w:t>
      </w:r>
      <w:hyperlink r:id="rId15" w:history="1">
        <w:r w:rsidRPr="002B2207">
          <w:rPr>
            <w:rFonts w:ascii="Arial" w:eastAsia="Times New Roman" w:hAnsi="Arial" w:cs="Arial"/>
            <w:sz w:val="24"/>
            <w:szCs w:val="24"/>
          </w:rPr>
          <w:t>Самара</w:t>
        </w:r>
      </w:hyperlink>
      <w:r w:rsidRPr="002B2207">
        <w:rPr>
          <w:rFonts w:ascii="Arial" w:eastAsia="Times New Roman" w:hAnsi="Arial" w:cs="Arial"/>
          <w:sz w:val="24"/>
          <w:szCs w:val="24"/>
        </w:rPr>
        <w:t>)</w:t>
      </w:r>
    </w:p>
    <w:p w:rsidR="00301FDF" w:rsidRPr="002B2207" w:rsidRDefault="00301FDF" w:rsidP="002B2207">
      <w:pPr>
        <w:shd w:val="clear" w:color="auto" w:fill="FFFFFF"/>
        <w:spacing w:after="75" w:line="330" w:lineRule="atLeast"/>
        <w:jc w:val="both"/>
        <w:outlineLvl w:val="1"/>
        <w:rPr>
          <w:rFonts w:ascii="Arial" w:hAnsi="Arial" w:cs="Arial"/>
          <w:kern w:val="36"/>
          <w:sz w:val="24"/>
          <w:szCs w:val="24"/>
        </w:rPr>
      </w:pPr>
      <w:r w:rsidRPr="002B2207">
        <w:rPr>
          <w:rFonts w:ascii="Arial" w:hAnsi="Arial" w:cs="Arial"/>
          <w:kern w:val="36"/>
          <w:sz w:val="24"/>
          <w:szCs w:val="24"/>
        </w:rPr>
        <w:t>Дата: 10.07.2012</w:t>
      </w:r>
    </w:p>
    <w:p w:rsidR="00301FDF" w:rsidRPr="002B2207" w:rsidRDefault="00BB0F09" w:rsidP="002B2207">
      <w:pPr>
        <w:shd w:val="clear" w:color="auto" w:fill="FFFFFF"/>
        <w:spacing w:after="75" w:line="330" w:lineRule="atLeast"/>
        <w:jc w:val="both"/>
        <w:outlineLvl w:val="1"/>
        <w:rPr>
          <w:rFonts w:ascii="Arial" w:hAnsi="Arial" w:cs="Arial"/>
          <w:sz w:val="24"/>
          <w:szCs w:val="24"/>
        </w:rPr>
      </w:pPr>
      <w:hyperlink r:id="rId16" w:history="1">
        <w:r w:rsidR="00301FDF" w:rsidRPr="002B2207">
          <w:rPr>
            <w:rStyle w:val="a3"/>
            <w:rFonts w:ascii="Arial" w:hAnsi="Arial" w:cs="Arial"/>
            <w:color w:val="auto"/>
            <w:sz w:val="24"/>
            <w:szCs w:val="24"/>
          </w:rPr>
          <w:t>http://www.rg.ru/2012/07/10/reg-pfo/klastery.html</w:t>
        </w:r>
      </w:hyperlink>
    </w:p>
    <w:p w:rsidR="006D53EC" w:rsidRPr="002B2207" w:rsidRDefault="006D53EC" w:rsidP="002B2207">
      <w:pPr>
        <w:jc w:val="both"/>
        <w:rPr>
          <w:rFonts w:ascii="Arial" w:hAnsi="Arial" w:cs="Arial"/>
          <w:sz w:val="24"/>
          <w:szCs w:val="24"/>
        </w:rPr>
      </w:pPr>
    </w:p>
    <w:sectPr w:rsidR="006D53EC" w:rsidRPr="002B2207" w:rsidSect="009B7F79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85214"/>
    <w:rsid w:val="002B2207"/>
    <w:rsid w:val="00301FDF"/>
    <w:rsid w:val="006D53EC"/>
    <w:rsid w:val="007021B8"/>
    <w:rsid w:val="007D7205"/>
    <w:rsid w:val="009B7F79"/>
    <w:rsid w:val="00BB0F09"/>
    <w:rsid w:val="00BD1DD1"/>
    <w:rsid w:val="00D85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1B8"/>
  </w:style>
  <w:style w:type="paragraph" w:styleId="1">
    <w:name w:val="heading 1"/>
    <w:basedOn w:val="a"/>
    <w:link w:val="10"/>
    <w:uiPriority w:val="9"/>
    <w:qFormat/>
    <w:rsid w:val="00D852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52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D85214"/>
  </w:style>
  <w:style w:type="character" w:styleId="a3">
    <w:name w:val="Hyperlink"/>
    <w:basedOn w:val="a0"/>
    <w:uiPriority w:val="99"/>
    <w:semiHidden/>
    <w:unhideWhenUsed/>
    <w:rsid w:val="00D85214"/>
    <w:rPr>
      <w:color w:val="0000FF"/>
      <w:u w:val="single"/>
    </w:rPr>
  </w:style>
  <w:style w:type="character" w:customStyle="1" w:styleId="tik">
    <w:name w:val="tik"/>
    <w:basedOn w:val="a0"/>
    <w:rsid w:val="00D85214"/>
  </w:style>
  <w:style w:type="character" w:styleId="a4">
    <w:name w:val="Strong"/>
    <w:basedOn w:val="a0"/>
    <w:uiPriority w:val="22"/>
    <w:qFormat/>
    <w:rsid w:val="00D85214"/>
    <w:rPr>
      <w:b/>
      <w:bCs/>
    </w:rPr>
  </w:style>
  <w:style w:type="paragraph" w:styleId="a5">
    <w:name w:val="Normal (Web)"/>
    <w:basedOn w:val="a"/>
    <w:uiPriority w:val="99"/>
    <w:semiHidden/>
    <w:unhideWhenUsed/>
    <w:rsid w:val="00D85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85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52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4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401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06296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297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3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522278">
                  <w:marLeft w:val="75"/>
                  <w:marRight w:val="75"/>
                  <w:marTop w:val="75"/>
                  <w:marBottom w:val="75"/>
                  <w:divBdr>
                    <w:top w:val="single" w:sz="6" w:space="4" w:color="E5E5E5"/>
                    <w:left w:val="single" w:sz="6" w:space="4" w:color="E5E5E5"/>
                    <w:bottom w:val="single" w:sz="6" w:space="4" w:color="E5E5E5"/>
                    <w:right w:val="single" w:sz="6" w:space="4" w:color="E5E5E5"/>
                  </w:divBdr>
                </w:div>
                <w:div w:id="60339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g.ru/author-Olga-Kondreva/" TargetMode="External"/><Relationship Id="rId13" Type="http://schemas.openxmlformats.org/officeDocument/2006/relationships/hyperlink" Target="http://www.rg.ru/region/pfo/ulyanovskaya/ulyanovsk/index.html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rg.ru/region/pfo/mordovija/saransk/index.html" TargetMode="External"/><Relationship Id="rId12" Type="http://schemas.openxmlformats.org/officeDocument/2006/relationships/hyperlink" Target="http://www.rg.ru/author-Viktoriia-Chernysheva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rg.ru/2012/07/10/reg-pfo/klastery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rg.ru/author-Valentina-Zotikova/" TargetMode="External"/><Relationship Id="rId11" Type="http://schemas.openxmlformats.org/officeDocument/2006/relationships/hyperlink" Target="http://www.rg.ru/region/pfo/nizhegorodskaya/nnovgorod/index.html" TargetMode="External"/><Relationship Id="rId5" Type="http://schemas.openxmlformats.org/officeDocument/2006/relationships/hyperlink" Target="http://www.rg.ru/gazeta/pfo/2012/07/10.html" TargetMode="External"/><Relationship Id="rId15" Type="http://schemas.openxmlformats.org/officeDocument/2006/relationships/hyperlink" Target="http://www.rg.ru/region/pfo/samarskay/samara/index.html" TargetMode="External"/><Relationship Id="rId10" Type="http://schemas.openxmlformats.org/officeDocument/2006/relationships/hyperlink" Target="http://www.rg.ru/author-Ilia-Ponosov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rg.ru/region/pfo/tatarstan/kazan/index.html" TargetMode="External"/><Relationship Id="rId14" Type="http://schemas.openxmlformats.org/officeDocument/2006/relationships/hyperlink" Target="http://www.rg.ru/author-Anna-Shepelev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1507</Words>
  <Characters>8591</Characters>
  <Application>Microsoft Office Word</Application>
  <DocSecurity>0</DocSecurity>
  <Lines>71</Lines>
  <Paragraphs>20</Paragraphs>
  <ScaleCrop>false</ScaleCrop>
  <Company>ГНП РКЦ "ЦСКБ-Прогресс"</Company>
  <LinksUpToDate>false</LinksUpToDate>
  <CharactersWithSpaces>10078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7</cp:revision>
  <dcterms:created xsi:type="dcterms:W3CDTF">2012-08-03T06:55:00Z</dcterms:created>
  <dcterms:modified xsi:type="dcterms:W3CDTF">2013-01-22T09:57:00Z</dcterms:modified>
</cp:coreProperties>
</file>